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p>
    <w:p/>
    <w:p>
      <w:pPr>
        <w:spacing w:line="600" w:lineRule="exact"/>
        <w:jc w:val="center"/>
        <w:rPr>
          <w:rFonts w:ascii="方正小标宋简体" w:eastAsia="方正小标宋简体"/>
          <w:sz w:val="44"/>
          <w:szCs w:val="44"/>
        </w:rPr>
      </w:pPr>
      <w:r>
        <w:rPr>
          <w:rFonts w:hint="eastAsia" w:ascii="方正小标宋简体" w:eastAsia="方正小标宋简体"/>
          <w:sz w:val="44"/>
          <w:szCs w:val="44"/>
        </w:rPr>
        <w:t>项目支出绩效自评报告</w:t>
      </w:r>
    </w:p>
    <w:p/>
    <w:p/>
    <w:p/>
    <w:p/>
    <w:p>
      <w:pPr>
        <w:ind w:firstLine="1823" w:firstLineChars="592"/>
        <w:rPr>
          <w:rFonts w:hint="eastAsia"/>
        </w:rPr>
      </w:pPr>
      <w:r>
        <w:rPr>
          <w:rFonts w:hint="eastAsia"/>
        </w:rPr>
        <w:t>项目名称：自然资源卫片执法检查第三方</w:t>
      </w:r>
    </w:p>
    <w:p>
      <w:pPr>
        <w:ind w:firstLine="3363" w:firstLineChars="1092"/>
      </w:pPr>
      <w:r>
        <w:rPr>
          <w:rFonts w:hint="eastAsia"/>
        </w:rPr>
        <w:t>技术服务项目</w:t>
      </w:r>
    </w:p>
    <w:p>
      <w:pPr>
        <w:ind w:firstLine="1823" w:firstLineChars="592"/>
        <w:rPr>
          <w:rFonts w:hint="default" w:eastAsia="仿宋_GB2312"/>
          <w:lang w:val="en-US" w:eastAsia="zh-CN"/>
        </w:rPr>
      </w:pPr>
      <w:r>
        <w:rPr>
          <w:rFonts w:hint="eastAsia"/>
        </w:rPr>
        <w:t>项目主管部门（单位）：</w:t>
      </w:r>
      <w:r>
        <w:rPr>
          <w:rFonts w:hint="eastAsia"/>
          <w:lang w:val="en-US" w:eastAsia="zh-CN"/>
        </w:rPr>
        <w:t>林芝市自然资源局</w:t>
      </w:r>
    </w:p>
    <w:p>
      <w:pPr>
        <w:ind w:firstLine="1823" w:firstLineChars="592"/>
        <w:rPr>
          <w:rFonts w:hint="default" w:eastAsia="仿宋_GB2312"/>
          <w:lang w:val="en-US" w:eastAsia="zh-CN"/>
        </w:rPr>
      </w:pPr>
      <w:r>
        <w:rPr>
          <w:rFonts w:hint="eastAsia"/>
        </w:rPr>
        <w:t>填报人姓名：</w:t>
      </w:r>
      <w:r>
        <w:rPr>
          <w:rFonts w:hint="eastAsia"/>
          <w:lang w:val="en-US" w:eastAsia="zh-CN"/>
        </w:rPr>
        <w:t>钟 礼 威</w:t>
      </w:r>
    </w:p>
    <w:p>
      <w:pPr>
        <w:ind w:firstLine="1823" w:firstLineChars="592"/>
        <w:rPr>
          <w:rFonts w:hint="default" w:eastAsia="仿宋_GB2312"/>
          <w:lang w:val="en-US" w:eastAsia="zh-CN"/>
        </w:rPr>
      </w:pPr>
      <w:r>
        <w:rPr>
          <w:rFonts w:hint="eastAsia"/>
        </w:rPr>
        <w:t>联系电话：</w:t>
      </w:r>
      <w:r>
        <w:rPr>
          <w:rFonts w:hint="eastAsia"/>
          <w:lang w:val="en-US" w:eastAsia="zh-CN"/>
        </w:rPr>
        <w:t>0894-5884899</w:t>
      </w:r>
    </w:p>
    <w:p>
      <w:pPr>
        <w:ind w:firstLine="1823" w:firstLineChars="592"/>
        <w:rPr>
          <w:rFonts w:hint="default" w:eastAsia="仿宋_GB2312"/>
          <w:lang w:val="en-US" w:eastAsia="zh-CN"/>
        </w:rPr>
      </w:pPr>
      <w:r>
        <w:rPr>
          <w:rFonts w:hint="eastAsia"/>
        </w:rPr>
        <w:t>填报日期：</w:t>
      </w:r>
      <w:r>
        <w:rPr>
          <w:rFonts w:hint="eastAsia"/>
          <w:lang w:val="en-US" w:eastAsia="zh-CN"/>
        </w:rPr>
        <w:t>2025年7月</w:t>
      </w:r>
      <w:bookmarkStart w:id="0" w:name="_GoBack"/>
      <w:r>
        <w:rPr>
          <w:rFonts w:hint="eastAsia"/>
          <w:lang w:val="en-US" w:eastAsia="zh-CN"/>
        </w:rPr>
        <w:t>13</w:t>
      </w:r>
      <w:bookmarkEnd w:id="0"/>
      <w:r>
        <w:rPr>
          <w:rFonts w:hint="eastAsia"/>
          <w:lang w:val="en-US" w:eastAsia="zh-CN"/>
        </w:rPr>
        <w:t>日</w:t>
      </w:r>
    </w:p>
    <w:p/>
    <w:p/>
    <w:p/>
    <w:p/>
    <w:p>
      <w:pPr>
        <w:rPr>
          <w:rFonts w:hint="eastAsia"/>
        </w:rPr>
      </w:pPr>
      <w:r>
        <w:rPr>
          <w:rFonts w:hint="eastAsia"/>
        </w:rPr>
        <w:t xml:space="preserve">                     </w:t>
      </w:r>
    </w:p>
    <w:p>
      <w:pPr>
        <w:rPr>
          <w:rFonts w:hint="eastAsia"/>
        </w:rPr>
      </w:pPr>
    </w:p>
    <w:p>
      <w:r>
        <w:rPr>
          <w:rFonts w:hint="eastAsia"/>
        </w:rPr>
        <w:t xml:space="preserve">                     </w:t>
      </w:r>
      <w:r>
        <w:rPr>
          <w:rFonts w:hint="eastAsia"/>
          <w:lang w:val="en-US" w:eastAsia="zh-CN"/>
        </w:rPr>
        <w:t>林芝市</w:t>
      </w:r>
      <w:r>
        <w:rPr>
          <w:rFonts w:hint="eastAsia"/>
        </w:rPr>
        <w:t>财政局制</w:t>
      </w:r>
    </w:p>
    <w:p>
      <w:r>
        <w:rPr>
          <w:rFonts w:hint="eastAsia"/>
        </w:rPr>
        <w:t xml:space="preserve">                         202</w:t>
      </w:r>
      <w:r>
        <w:rPr>
          <w:rFonts w:hint="eastAsia"/>
          <w:lang w:val="en-US" w:eastAsia="zh-CN"/>
        </w:rPr>
        <w:t>5</w:t>
      </w:r>
      <w:r>
        <w:rPr>
          <w:rFonts w:hint="eastAsia"/>
        </w:rPr>
        <w:t>年</w:t>
      </w:r>
    </w:p>
    <w:p>
      <w:pPr>
        <w:keepNext w:val="0"/>
        <w:keepLines w:val="0"/>
        <w:pageBreakBefore w:val="0"/>
        <w:widowControl w:val="0"/>
        <w:kinsoku/>
        <w:wordWrap/>
        <w:overflowPunct/>
        <w:topLinePunct w:val="0"/>
        <w:autoSpaceDE/>
        <w:autoSpaceDN/>
        <w:bidi w:val="0"/>
        <w:spacing w:line="560" w:lineRule="exact"/>
        <w:ind w:firstLine="616" w:firstLineChars="200"/>
        <w:textAlignment w:val="auto"/>
        <w:rPr>
          <w:rFonts w:ascii="方正小标宋简体" w:eastAsia="方正小标宋简体"/>
        </w:rPr>
      </w:pPr>
      <w:r>
        <w:rPr>
          <w:rFonts w:hint="eastAsia" w:ascii="方正小标宋简体" w:eastAsia="方正小标宋简体"/>
        </w:rPr>
        <w:t>一、项目基本情况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16" w:firstLineChars="200"/>
        <w:jc w:val="both"/>
        <w:textAlignment w:val="auto"/>
        <w:rPr>
          <w:rFonts w:hint="eastAsia" w:ascii="楷体" w:hAnsi="楷体" w:eastAsia="楷体" w:cs="楷体"/>
          <w:b w:val="0"/>
          <w:bCs w:val="0"/>
          <w:kern w:val="2"/>
          <w:sz w:val="32"/>
          <w:szCs w:val="32"/>
          <w:highlight w:val="none"/>
          <w:lang w:val="en-US" w:eastAsia="zh-CN" w:bidi="zh-CN"/>
        </w:rPr>
      </w:pPr>
      <w:r>
        <w:rPr>
          <w:rFonts w:hint="eastAsia" w:ascii="楷体" w:hAnsi="楷体" w:eastAsia="楷体" w:cs="楷体"/>
          <w:b w:val="0"/>
          <w:bCs w:val="0"/>
          <w:kern w:val="2"/>
          <w:sz w:val="32"/>
          <w:szCs w:val="32"/>
          <w:highlight w:val="none"/>
          <w:lang w:val="en-US" w:eastAsia="zh-CN" w:bidi="zh-CN"/>
        </w:rPr>
        <w:t>（一）项目背景</w:t>
      </w:r>
    </w:p>
    <w:p>
      <w:pPr>
        <w:keepNext w:val="0"/>
        <w:keepLines w:val="0"/>
        <w:pageBreakBefore w:val="0"/>
        <w:widowControl w:val="0"/>
        <w:kinsoku/>
        <w:wordWrap/>
        <w:overflowPunct/>
        <w:topLinePunct w:val="0"/>
        <w:autoSpaceDE/>
        <w:autoSpaceDN/>
        <w:bidi w:val="0"/>
        <w:adjustRightInd w:val="0"/>
        <w:snapToGrid w:val="0"/>
        <w:spacing w:line="560" w:lineRule="exact"/>
        <w:ind w:firstLine="640"/>
        <w:jc w:val="both"/>
        <w:textAlignment w:val="auto"/>
        <w:rPr>
          <w:rFonts w:hint="eastAsia" w:ascii="仿宋_GB2312" w:hAnsi="仿宋_GB2312" w:eastAsia="仿宋_GB2312" w:cs="仿宋_GB2312"/>
          <w:color w:val="000000"/>
          <w:kern w:val="0"/>
          <w:sz w:val="32"/>
          <w:szCs w:val="32"/>
          <w:highlight w:val="none"/>
          <w:lang w:val="en-US" w:eastAsia="zh-CN" w:bidi="zh-CN"/>
        </w:rPr>
      </w:pPr>
      <w:r>
        <w:rPr>
          <w:rFonts w:hint="eastAsia" w:ascii="仿宋_GB2312" w:hAnsi="仿宋_GB2312" w:eastAsia="仿宋_GB2312" w:cs="仿宋_GB2312"/>
          <w:color w:val="000000"/>
          <w:kern w:val="0"/>
          <w:sz w:val="32"/>
          <w:szCs w:val="32"/>
          <w:highlight w:val="none"/>
          <w:lang w:val="en-US" w:eastAsia="zh-CN" w:bidi="zh-CN"/>
        </w:rPr>
        <w:t>为贯彻落实习近平生态文明思想和习近平总书记关于自然资源管理的重要指示批示，以耕地保护和粮食安全责任制考核为契机，推动落实耕地保护和粮食安全党政同责，坚决落实最严格的耕地保护制度，牢牢守十八亿亩耕地保护红线，维护自然资源管理秩序。开展自然资源卫片执法专项工作，及时发现自然资源违法行为，检验各地严格规范公正文明执法情况，加大对自然资源违法违规案件查处力度，加强对地方自然资源主管部门案件查处工作的监督指导，进一步在自然资源系统强化“严起来”意识，落实“早发现、早制止、严查处”的工作方针，强化地方政府自然资源保护主体责任，有力维护自然资源开发利用和保护秩序，坚持“源头严防、过程严管、后果严惩”，深入聚焦耕地保护，坚持严格规范公正文明执法，严肃惩治自然资源违法行为，严守生态红线、永久基本农田红线和城镇开发边界，努力打赢自然资源保卫战。</w:t>
      </w:r>
    </w:p>
    <w:p>
      <w:pPr>
        <w:keepNext w:val="0"/>
        <w:keepLines w:val="0"/>
        <w:pageBreakBefore w:val="0"/>
        <w:widowControl w:val="0"/>
        <w:kinsoku/>
        <w:wordWrap/>
        <w:overflowPunct/>
        <w:topLinePunct w:val="0"/>
        <w:autoSpaceDE/>
        <w:autoSpaceDN/>
        <w:bidi w:val="0"/>
        <w:adjustRightInd w:val="0"/>
        <w:snapToGrid w:val="0"/>
        <w:spacing w:line="560" w:lineRule="exact"/>
        <w:ind w:firstLine="616" w:firstLineChars="200"/>
        <w:jc w:val="both"/>
        <w:textAlignment w:val="auto"/>
        <w:rPr>
          <w:rFonts w:hint="eastAsia" w:ascii="楷体" w:hAnsi="楷体" w:eastAsia="楷体" w:cs="楷体"/>
          <w:b w:val="0"/>
          <w:bCs w:val="0"/>
          <w:kern w:val="2"/>
          <w:sz w:val="32"/>
          <w:szCs w:val="32"/>
          <w:highlight w:val="none"/>
          <w:lang w:val="en-US" w:eastAsia="zh-CN" w:bidi="zh-CN"/>
        </w:rPr>
      </w:pPr>
      <w:r>
        <w:rPr>
          <w:rFonts w:hint="eastAsia" w:ascii="楷体" w:hAnsi="楷体" w:eastAsia="楷体" w:cs="楷体"/>
          <w:b w:val="0"/>
          <w:bCs w:val="0"/>
          <w:kern w:val="2"/>
          <w:sz w:val="32"/>
          <w:szCs w:val="32"/>
          <w:highlight w:val="none"/>
          <w:lang w:val="en-US" w:eastAsia="zh-CN" w:bidi="zh-CN"/>
        </w:rPr>
        <w:t>（二）主要工作内容</w:t>
      </w:r>
    </w:p>
    <w:p>
      <w:pPr>
        <w:keepNext w:val="0"/>
        <w:keepLines w:val="0"/>
        <w:pageBreakBefore w:val="0"/>
        <w:widowControl w:val="0"/>
        <w:kinsoku/>
        <w:wordWrap/>
        <w:overflowPunct/>
        <w:topLinePunct w:val="0"/>
        <w:autoSpaceDE/>
        <w:autoSpaceDN/>
        <w:bidi w:val="0"/>
        <w:spacing w:line="560" w:lineRule="exact"/>
        <w:ind w:firstLine="616" w:firstLineChars="200"/>
        <w:textAlignment w:val="auto"/>
        <w:rPr>
          <w:rFonts w:hint="eastAsia" w:ascii="仿宋_GB2312" w:hAnsi="仿宋_GB2312" w:eastAsia="仿宋_GB2312" w:cs="仿宋_GB2312"/>
          <w:b w:val="0"/>
          <w:bCs w:val="0"/>
          <w:kern w:val="2"/>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rPr>
        <w:t>本项目通过购买第三方技术服务的形式，完成对林芝市辖区内自然资源部下发的卫片执法图斑进行图斑套合比对分析、内业审核上报、外业抽查、数据统计分析、新增农村乱占耕地建房问题图斑筛选、卫片执法矢量数据库建设、数据台账建立等工作。</w:t>
      </w:r>
    </w:p>
    <w:p>
      <w:pPr>
        <w:keepNext w:val="0"/>
        <w:keepLines w:val="0"/>
        <w:pageBreakBefore w:val="0"/>
        <w:widowControl w:val="0"/>
        <w:kinsoku/>
        <w:wordWrap/>
        <w:overflowPunct/>
        <w:topLinePunct w:val="0"/>
        <w:autoSpaceDE/>
        <w:autoSpaceDN/>
        <w:bidi w:val="0"/>
        <w:adjustRightInd w:val="0"/>
        <w:snapToGrid w:val="0"/>
        <w:spacing w:line="560" w:lineRule="exact"/>
        <w:ind w:firstLine="616" w:firstLineChars="200"/>
        <w:jc w:val="both"/>
        <w:textAlignment w:val="auto"/>
        <w:rPr>
          <w:rFonts w:hint="default" w:ascii="楷体" w:hAnsi="楷体" w:eastAsia="楷体" w:cs="楷体"/>
          <w:b w:val="0"/>
          <w:bCs w:val="0"/>
          <w:kern w:val="2"/>
          <w:sz w:val="32"/>
          <w:szCs w:val="32"/>
          <w:highlight w:val="none"/>
          <w:lang w:val="en-US" w:eastAsia="zh-CN" w:bidi="zh-CN"/>
        </w:rPr>
      </w:pPr>
      <w:r>
        <w:rPr>
          <w:rFonts w:hint="eastAsia" w:ascii="楷体" w:hAnsi="楷体" w:eastAsia="楷体" w:cs="楷体"/>
          <w:b w:val="0"/>
          <w:bCs w:val="0"/>
          <w:kern w:val="2"/>
          <w:sz w:val="32"/>
          <w:szCs w:val="32"/>
          <w:highlight w:val="none"/>
          <w:lang w:val="en-US" w:eastAsia="zh-CN" w:bidi="zh-CN"/>
        </w:rPr>
        <w:t>（三）实施情况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16"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截止目前，卫片执法工作累计完成</w:t>
      </w:r>
      <w:r>
        <w:rPr>
          <w:rFonts w:hint="eastAsia" w:ascii="仿宋_GB2312" w:hAnsi="仿宋_GB2312" w:cs="仿宋_GB2312"/>
          <w:sz w:val="32"/>
          <w:szCs w:val="32"/>
          <w:lang w:val="en-US" w:eastAsia="zh-CN"/>
        </w:rPr>
        <w:t>8188</w:t>
      </w:r>
      <w:r>
        <w:rPr>
          <w:rFonts w:hint="eastAsia" w:ascii="仿宋_GB2312" w:hAnsi="仿宋_GB2312" w:eastAsia="仿宋_GB2312" w:cs="仿宋_GB2312"/>
          <w:sz w:val="32"/>
          <w:szCs w:val="32"/>
          <w:lang w:val="en-US" w:eastAsia="zh-CN"/>
        </w:rPr>
        <w:t>个下发图斑的内业审核与系统填报，共制作451个卫片执法图斑卷宗（包含合法、违法），开展外业核查图斑个数1</w:t>
      </w:r>
      <w:r>
        <w:rPr>
          <w:rFonts w:hint="eastAsia" w:ascii="仿宋_GB2312" w:hAnsi="仿宋_GB2312" w:cs="仿宋_GB2312"/>
          <w:sz w:val="32"/>
          <w:szCs w:val="32"/>
          <w:lang w:val="en-US" w:eastAsia="zh-CN"/>
        </w:rPr>
        <w:t>54</w:t>
      </w:r>
      <w:r>
        <w:rPr>
          <w:rFonts w:hint="eastAsia" w:ascii="仿宋_GB2312" w:hAnsi="仿宋_GB2312" w:eastAsia="仿宋_GB2312" w:cs="仿宋_GB2312"/>
          <w:sz w:val="32"/>
          <w:szCs w:val="32"/>
          <w:lang w:val="en-US" w:eastAsia="zh-CN"/>
        </w:rPr>
        <w:t>个</w:t>
      </w:r>
      <w:r>
        <w:rPr>
          <w:rFonts w:hint="eastAsia" w:ascii="仿宋_GB2312" w:hAnsi="仿宋_GB2312" w:cs="仿宋_GB2312"/>
          <w:sz w:val="32"/>
          <w:szCs w:val="32"/>
          <w:lang w:val="en-US" w:eastAsia="zh-CN"/>
        </w:rPr>
        <w:t>，</w:t>
      </w:r>
      <w:r>
        <w:rPr>
          <w:rFonts w:hint="eastAsia" w:ascii="仿宋_GB2312" w:hAnsi="仿宋_GB2312" w:eastAsia="仿宋_GB2312" w:cs="仿宋_GB2312"/>
          <w:sz w:val="32"/>
          <w:szCs w:val="32"/>
          <w:lang w:val="en-US" w:eastAsia="zh-CN"/>
        </w:rPr>
        <w:t>核查县区包括：巴宜区、米林市、工布江达县、朗县、察隅县、波密县、墨脱县</w:t>
      </w:r>
      <w:r>
        <w:rPr>
          <w:rFonts w:hint="eastAsia" w:ascii="仿宋_GB2312" w:hAnsi="仿宋_GB2312" w:cs="仿宋_GB2312"/>
          <w:sz w:val="32"/>
          <w:szCs w:val="32"/>
          <w:lang w:val="en-US" w:eastAsia="zh-CN"/>
        </w:rPr>
        <w:t>，制作</w:t>
      </w:r>
      <w:r>
        <w:rPr>
          <w:rFonts w:hint="eastAsia" w:ascii="仿宋_GB2312" w:hAnsi="仿宋_GB2312" w:eastAsia="仿宋_GB2312" w:cs="仿宋_GB2312"/>
          <w:sz w:val="32"/>
          <w:szCs w:val="32"/>
          <w:highlight w:val="none"/>
          <w:lang w:val="en-US" w:eastAsia="zh-CN"/>
        </w:rPr>
        <w:t>154</w:t>
      </w:r>
      <w:r>
        <w:rPr>
          <w:rFonts w:hint="eastAsia" w:ascii="仿宋_GB2312" w:hAnsi="仿宋_GB2312" w:cs="仿宋_GB2312"/>
          <w:sz w:val="32"/>
          <w:szCs w:val="32"/>
          <w:highlight w:val="none"/>
          <w:lang w:val="en-US" w:eastAsia="zh-CN"/>
        </w:rPr>
        <w:t>份</w:t>
      </w:r>
      <w:r>
        <w:rPr>
          <w:rFonts w:hint="eastAsia" w:ascii="仿宋_GB2312" w:hAnsi="仿宋_GB2312" w:eastAsia="仿宋_GB2312" w:cs="仿宋_GB2312"/>
          <w:sz w:val="32"/>
          <w:szCs w:val="32"/>
          <w:lang w:val="en-US" w:eastAsia="zh-CN"/>
        </w:rPr>
        <w:t>图斑外业核查信息表，例行督察共计41个已整改问题的佐证材料审核及档案资料整理工作；积极给各县（区、市）执法人员开展技术培训，助力提升县区执法人员业务水平与工作效率</w:t>
      </w:r>
      <w:r>
        <w:rPr>
          <w:rFonts w:hint="eastAsia" w:ascii="仿宋_GB2312" w:hAnsi="仿宋_GB2312" w:cs="仿宋_GB2312"/>
          <w:sz w:val="32"/>
          <w:szCs w:val="32"/>
          <w:lang w:val="en-US" w:eastAsia="zh-CN"/>
        </w:rPr>
        <w:t>，制作9</w:t>
      </w:r>
      <w:r>
        <w:rPr>
          <w:rFonts w:hint="eastAsia" w:ascii="仿宋_GB2312" w:hAnsi="仿宋_GB2312" w:eastAsia="仿宋_GB2312" w:cs="仿宋_GB2312"/>
          <w:sz w:val="32"/>
          <w:szCs w:val="32"/>
          <w:lang w:val="en-US" w:eastAsia="zh-CN"/>
        </w:rPr>
        <w:t>份技术培训记录表，林芝市自然资源领域各类违法图斑未整改情况统计表、明细表，林芝市自然资源领域2018-2024年度卫片执法违法图斑情况明细表，林芝市自然资源领域2019年-2024年卫片执法、例行督察违法占用耕地情况统计表、明细表，林芝市自然资源局执法监察支队重点工作进展明细表等相关资料。</w:t>
      </w:r>
    </w:p>
    <w:p>
      <w:pPr>
        <w:keepNext w:val="0"/>
        <w:keepLines w:val="0"/>
        <w:pageBreakBefore w:val="0"/>
        <w:widowControl w:val="0"/>
        <w:kinsoku/>
        <w:wordWrap/>
        <w:overflowPunct/>
        <w:topLinePunct w:val="0"/>
        <w:autoSpaceDE/>
        <w:autoSpaceDN/>
        <w:bidi w:val="0"/>
        <w:adjustRightInd w:val="0"/>
        <w:snapToGrid w:val="0"/>
        <w:spacing w:line="560" w:lineRule="exact"/>
        <w:ind w:firstLine="616" w:firstLineChars="200"/>
        <w:jc w:val="both"/>
        <w:textAlignment w:val="auto"/>
        <w:rPr>
          <w:rFonts w:hint="default" w:ascii="楷体" w:hAnsi="楷体" w:eastAsia="楷体" w:cs="楷体"/>
          <w:b w:val="0"/>
          <w:bCs w:val="0"/>
          <w:kern w:val="2"/>
          <w:sz w:val="32"/>
          <w:szCs w:val="32"/>
          <w:highlight w:val="none"/>
          <w:lang w:val="en-US" w:eastAsia="zh-CN" w:bidi="zh-CN"/>
        </w:rPr>
      </w:pPr>
      <w:r>
        <w:rPr>
          <w:rFonts w:hint="eastAsia" w:ascii="楷体" w:hAnsi="楷体" w:eastAsia="楷体" w:cs="楷体"/>
          <w:b w:val="0"/>
          <w:bCs w:val="0"/>
          <w:kern w:val="2"/>
          <w:sz w:val="32"/>
          <w:szCs w:val="32"/>
          <w:highlight w:val="none"/>
          <w:lang w:val="en-US" w:eastAsia="zh-CN" w:bidi="zh-CN"/>
        </w:rPr>
        <w:t>（四）资金使用情况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16"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该项目为延续性项目，</w:t>
      </w:r>
      <w:r>
        <w:rPr>
          <w:rFonts w:hint="eastAsia" w:ascii="仿宋_GB2312" w:hAnsi="仿宋_GB2312" w:eastAsia="仿宋_GB2312" w:cs="仿宋_GB2312"/>
          <w:sz w:val="32"/>
          <w:szCs w:val="32"/>
          <w:lang w:val="en-US" w:eastAsia="zh-CN"/>
        </w:rPr>
        <w:t>2024年8月我局与自然资源部第一航测遥感院签订为期1年的技术服务合同</w:t>
      </w:r>
      <w:r>
        <w:rPr>
          <w:rFonts w:hint="eastAsia" w:ascii="仿宋_GB2312" w:hAnsi="仿宋_GB2312" w:cs="仿宋_GB2312"/>
          <w:sz w:val="32"/>
          <w:szCs w:val="32"/>
          <w:lang w:val="en-US" w:eastAsia="zh-CN"/>
        </w:rPr>
        <w:t>（合同期至2025年8月）</w:t>
      </w:r>
      <w:r>
        <w:rPr>
          <w:rFonts w:hint="eastAsia" w:ascii="仿宋_GB2312" w:hAnsi="仿宋_GB2312" w:eastAsia="仿宋_GB2312" w:cs="仿宋_GB2312"/>
          <w:sz w:val="32"/>
          <w:szCs w:val="32"/>
          <w:lang w:val="en-US" w:eastAsia="zh-CN"/>
        </w:rPr>
        <w:t>，合同价款89.8万，2024年12月，</w:t>
      </w:r>
      <w:r>
        <w:rPr>
          <w:rFonts w:hint="eastAsia" w:ascii="仿宋_GB2312" w:hAnsi="仿宋_GB2312" w:cs="仿宋_GB2312"/>
          <w:sz w:val="32"/>
          <w:szCs w:val="32"/>
          <w:lang w:val="en-US" w:eastAsia="zh-CN"/>
        </w:rPr>
        <w:t>拨付</w:t>
      </w:r>
      <w:r>
        <w:rPr>
          <w:rFonts w:hint="eastAsia" w:ascii="仿宋_GB2312" w:hAnsi="仿宋_GB2312" w:eastAsia="仿宋_GB2312" w:cs="仿宋_GB2312"/>
          <w:sz w:val="32"/>
          <w:szCs w:val="32"/>
          <w:lang w:val="en-US" w:eastAsia="zh-CN"/>
        </w:rPr>
        <w:t>第一笔45%（40.41万元）的资金，2025年4月</w:t>
      </w:r>
      <w:r>
        <w:rPr>
          <w:rFonts w:hint="eastAsia" w:ascii="仿宋_GB2312" w:hAnsi="仿宋_GB2312" w:cs="仿宋_GB2312"/>
          <w:sz w:val="32"/>
          <w:szCs w:val="32"/>
          <w:lang w:val="en-US" w:eastAsia="zh-CN"/>
        </w:rPr>
        <w:t>，</w:t>
      </w:r>
      <w:r>
        <w:rPr>
          <w:rFonts w:hint="eastAsia" w:ascii="仿宋_GB2312" w:hAnsi="仿宋_GB2312" w:eastAsia="仿宋_GB2312" w:cs="仿宋_GB2312"/>
          <w:sz w:val="32"/>
          <w:szCs w:val="32"/>
          <w:lang w:val="en-US" w:eastAsia="zh-CN"/>
        </w:rPr>
        <w:t>拨付第二笔45%（40.41万元）的资金，</w:t>
      </w:r>
      <w:r>
        <w:rPr>
          <w:rFonts w:hint="eastAsia" w:ascii="仿宋_GB2312" w:hAnsi="仿宋_GB2312" w:cs="仿宋_GB2312"/>
          <w:sz w:val="32"/>
          <w:szCs w:val="32"/>
          <w:lang w:val="en-US" w:eastAsia="zh-CN"/>
        </w:rPr>
        <w:t>计划</w:t>
      </w:r>
      <w:r>
        <w:rPr>
          <w:rFonts w:hint="eastAsia" w:ascii="仿宋_GB2312" w:hAnsi="仿宋_GB2312" w:eastAsia="仿宋_GB2312" w:cs="仿宋_GB2312"/>
          <w:sz w:val="32"/>
          <w:szCs w:val="32"/>
          <w:lang w:val="en-US" w:eastAsia="zh-CN"/>
        </w:rPr>
        <w:t>2025年9月份拨付第三笔10%（8.98万元）资金。</w:t>
      </w:r>
    </w:p>
    <w:p>
      <w:pPr>
        <w:keepNext w:val="0"/>
        <w:keepLines w:val="0"/>
        <w:pageBreakBefore w:val="0"/>
        <w:widowControl w:val="0"/>
        <w:kinsoku/>
        <w:wordWrap/>
        <w:overflowPunct/>
        <w:topLinePunct w:val="0"/>
        <w:autoSpaceDE/>
        <w:autoSpaceDN/>
        <w:bidi w:val="0"/>
        <w:adjustRightInd w:val="0"/>
        <w:snapToGrid w:val="0"/>
        <w:spacing w:line="560" w:lineRule="exact"/>
        <w:ind w:firstLine="616" w:firstLineChars="200"/>
        <w:jc w:val="both"/>
        <w:textAlignment w:val="auto"/>
        <w:rPr>
          <w:rFonts w:hint="default" w:ascii="楷体" w:hAnsi="楷体" w:eastAsia="楷体" w:cs="楷体"/>
          <w:b w:val="0"/>
          <w:bCs w:val="0"/>
          <w:kern w:val="2"/>
          <w:sz w:val="32"/>
          <w:szCs w:val="32"/>
          <w:highlight w:val="none"/>
          <w:lang w:val="en-US" w:eastAsia="zh-CN" w:bidi="zh-CN"/>
        </w:rPr>
      </w:pPr>
      <w:r>
        <w:rPr>
          <w:rFonts w:hint="eastAsia" w:ascii="楷体" w:hAnsi="楷体" w:eastAsia="楷体" w:cs="楷体"/>
          <w:b w:val="0"/>
          <w:bCs w:val="0"/>
          <w:kern w:val="2"/>
          <w:sz w:val="32"/>
          <w:szCs w:val="32"/>
          <w:highlight w:val="none"/>
          <w:lang w:val="en-US" w:eastAsia="zh-CN" w:bidi="zh-CN"/>
        </w:rPr>
        <w:t>（四）绩效目标</w:t>
      </w:r>
    </w:p>
    <w:p>
      <w:pPr>
        <w:keepNext w:val="0"/>
        <w:keepLines w:val="0"/>
        <w:pageBreakBefore w:val="0"/>
        <w:widowControl w:val="0"/>
        <w:kinsoku/>
        <w:wordWrap/>
        <w:overflowPunct/>
        <w:topLinePunct w:val="0"/>
        <w:autoSpaceDE/>
        <w:autoSpaceDN/>
        <w:bidi w:val="0"/>
        <w:spacing w:line="560" w:lineRule="exact"/>
        <w:ind w:firstLine="616" w:firstLineChars="200"/>
        <w:textAlignment w:val="auto"/>
        <w:rPr>
          <w:rFonts w:hint="default"/>
          <w:lang w:val="en-US" w:eastAsia="zh-CN"/>
        </w:rPr>
      </w:pPr>
      <w:r>
        <w:rPr>
          <w:rFonts w:hint="eastAsia" w:ascii="仿宋_GB2312" w:hAnsi="仿宋_GB2312" w:cs="仿宋_GB2312"/>
          <w:sz w:val="32"/>
          <w:szCs w:val="32"/>
          <w:lang w:val="en-US" w:eastAsia="zh-CN"/>
        </w:rPr>
        <w:t>根据项目开展与资金拨付情况，该项目绩效目标与事前绩效评估基本一致。</w:t>
      </w:r>
    </w:p>
    <w:p>
      <w:pPr>
        <w:keepNext w:val="0"/>
        <w:keepLines w:val="0"/>
        <w:pageBreakBefore w:val="0"/>
        <w:widowControl w:val="0"/>
        <w:numPr>
          <w:ilvl w:val="0"/>
          <w:numId w:val="1"/>
        </w:numPr>
        <w:kinsoku/>
        <w:wordWrap/>
        <w:overflowPunct/>
        <w:topLinePunct w:val="0"/>
        <w:autoSpaceDE/>
        <w:autoSpaceDN/>
        <w:bidi w:val="0"/>
        <w:spacing w:line="560" w:lineRule="exact"/>
        <w:ind w:firstLine="616" w:firstLineChars="200"/>
        <w:textAlignment w:val="auto"/>
        <w:rPr>
          <w:rFonts w:hint="eastAsia" w:ascii="方正小标宋简体" w:eastAsia="方正小标宋简体"/>
        </w:rPr>
      </w:pPr>
      <w:r>
        <w:rPr>
          <w:rFonts w:hint="eastAsia" w:ascii="方正小标宋简体" w:eastAsia="方正小标宋简体"/>
        </w:rPr>
        <w:t>绩效自评工作组织情况。</w:t>
      </w:r>
    </w:p>
    <w:p>
      <w:pPr>
        <w:keepNext w:val="0"/>
        <w:keepLines w:val="0"/>
        <w:pageBreakBefore w:val="0"/>
        <w:widowControl w:val="0"/>
        <w:kinsoku/>
        <w:wordWrap/>
        <w:overflowPunct/>
        <w:topLinePunct w:val="0"/>
        <w:autoSpaceDE/>
        <w:autoSpaceDN/>
        <w:bidi w:val="0"/>
        <w:spacing w:line="560" w:lineRule="exact"/>
        <w:ind w:firstLine="616" w:firstLineChars="200"/>
        <w:textAlignment w:val="auto"/>
        <w:rPr>
          <w:rFonts w:hint="default"/>
          <w:lang w:val="en-US" w:eastAsia="zh-CN"/>
        </w:rPr>
      </w:pPr>
      <w:r>
        <w:rPr>
          <w:rFonts w:hint="eastAsia"/>
          <w:lang w:val="en-US" w:eastAsia="zh-CN"/>
        </w:rPr>
        <w:t>根据《中共西藏自治区委员会 西藏自治区人民政府关于全面实施预算绩效管理的实施意见》（藏党发</w:t>
      </w:r>
      <w:r>
        <w:rPr>
          <w:rFonts w:hint="eastAsia" w:ascii="宋体" w:hAnsi="宋体" w:eastAsia="宋体" w:cs="宋体"/>
          <w:lang w:val="en-US" w:eastAsia="zh-CN"/>
        </w:rPr>
        <w:t>〔2020〕7号</w:t>
      </w:r>
      <w:r>
        <w:rPr>
          <w:rFonts w:hint="eastAsia"/>
          <w:lang w:val="en-US" w:eastAsia="zh-CN"/>
        </w:rPr>
        <w:t>）和《林芝市财政局关于印发&lt;林芝市财政支出预算绩效管理暂行办法&gt;的通知》（林财预字</w:t>
      </w:r>
      <w:r>
        <w:rPr>
          <w:rFonts w:hint="eastAsia" w:ascii="宋体" w:hAnsi="宋体" w:eastAsia="宋体" w:cs="宋体"/>
          <w:lang w:val="en-US" w:eastAsia="zh-CN"/>
        </w:rPr>
        <w:t>〔2021〕4号</w:t>
      </w:r>
      <w:r>
        <w:rPr>
          <w:rFonts w:hint="eastAsia"/>
          <w:lang w:val="en-US" w:eastAsia="zh-CN"/>
        </w:rPr>
        <w:t>）等有关规定，采用“目标+结果”双维度分析方式，通过查阅台账资料、检查填报审核成果等方式对</w:t>
      </w:r>
      <w:r>
        <w:rPr>
          <w:rFonts w:hint="eastAsia"/>
        </w:rPr>
        <w:t>自然资源卫片执法检查第三方技术服务项目</w:t>
      </w:r>
      <w:r>
        <w:rPr>
          <w:rFonts w:hint="eastAsia"/>
          <w:lang w:val="en-US" w:eastAsia="zh-CN"/>
        </w:rPr>
        <w:t>开展项目绩效自评工作。</w:t>
      </w:r>
    </w:p>
    <w:p>
      <w:pPr>
        <w:keepNext w:val="0"/>
        <w:keepLines w:val="0"/>
        <w:pageBreakBefore w:val="0"/>
        <w:widowControl w:val="0"/>
        <w:numPr>
          <w:ilvl w:val="0"/>
          <w:numId w:val="1"/>
        </w:numPr>
        <w:kinsoku/>
        <w:wordWrap/>
        <w:overflowPunct/>
        <w:topLinePunct w:val="0"/>
        <w:autoSpaceDE/>
        <w:autoSpaceDN/>
        <w:bidi w:val="0"/>
        <w:spacing w:line="560" w:lineRule="exact"/>
        <w:ind w:left="0" w:leftChars="0" w:firstLine="616" w:firstLineChars="200"/>
        <w:textAlignment w:val="auto"/>
        <w:rPr>
          <w:rFonts w:hint="eastAsia" w:ascii="方正小标宋简体" w:eastAsia="方正小标宋简体"/>
        </w:rPr>
      </w:pPr>
      <w:r>
        <w:rPr>
          <w:rFonts w:hint="eastAsia" w:ascii="方正小标宋简体" w:eastAsia="方正小标宋简体"/>
        </w:rPr>
        <w:t>绩效指标分析情况</w:t>
      </w:r>
    </w:p>
    <w:p>
      <w:pPr>
        <w:keepNext w:val="0"/>
        <w:keepLines w:val="0"/>
        <w:pageBreakBefore w:val="0"/>
        <w:widowControl w:val="0"/>
        <w:numPr>
          <w:ilvl w:val="0"/>
          <w:numId w:val="0"/>
        </w:numPr>
        <w:kinsoku/>
        <w:wordWrap/>
        <w:overflowPunct/>
        <w:topLinePunct w:val="0"/>
        <w:autoSpaceDE/>
        <w:autoSpaceDN/>
        <w:bidi w:val="0"/>
        <w:spacing w:line="560" w:lineRule="exact"/>
        <w:ind w:leftChars="200"/>
        <w:textAlignment w:val="auto"/>
        <w:rPr>
          <w:rFonts w:hint="eastAsia" w:ascii="楷体" w:hAnsi="楷体" w:eastAsia="楷体" w:cs="楷体"/>
          <w:b w:val="0"/>
          <w:bCs w:val="0"/>
        </w:rPr>
      </w:pPr>
      <w:r>
        <w:rPr>
          <w:rFonts w:hint="eastAsia" w:ascii="楷体" w:hAnsi="楷体" w:eastAsia="楷体" w:cs="楷体"/>
          <w:b w:val="0"/>
          <w:bCs w:val="0"/>
        </w:rPr>
        <w:t>（一）自评分数。</w:t>
      </w:r>
    </w:p>
    <w:p>
      <w:pPr>
        <w:keepNext w:val="0"/>
        <w:keepLines w:val="0"/>
        <w:pageBreakBefore w:val="0"/>
        <w:widowControl w:val="0"/>
        <w:kinsoku/>
        <w:wordWrap/>
        <w:overflowPunct/>
        <w:topLinePunct w:val="0"/>
        <w:autoSpaceDE/>
        <w:autoSpaceDN/>
        <w:bidi w:val="0"/>
        <w:spacing w:line="560" w:lineRule="exact"/>
        <w:ind w:firstLine="616" w:firstLineChars="200"/>
        <w:textAlignment w:val="auto"/>
        <w:rPr>
          <w:rFonts w:hint="default" w:eastAsia="仿宋_GB2312"/>
          <w:lang w:val="en-US" w:eastAsia="zh-CN"/>
        </w:rPr>
      </w:pPr>
      <w:r>
        <w:rPr>
          <w:rFonts w:hint="eastAsia"/>
          <w:lang w:val="en-US" w:eastAsia="zh-CN"/>
        </w:rPr>
        <w:t>通过对</w:t>
      </w:r>
      <w:r>
        <w:rPr>
          <w:rFonts w:hint="eastAsia"/>
        </w:rPr>
        <w:t>自然资源卫片执法检查第三方技术服务项目</w:t>
      </w:r>
      <w:r>
        <w:rPr>
          <w:rFonts w:hint="eastAsia"/>
          <w:lang w:val="en-US" w:eastAsia="zh-CN"/>
        </w:rPr>
        <w:t>各项指标打分，综合计算总分为96分。</w:t>
      </w:r>
    </w:p>
    <w:p>
      <w:pPr>
        <w:keepNext w:val="0"/>
        <w:keepLines w:val="0"/>
        <w:pageBreakBefore w:val="0"/>
        <w:widowControl w:val="0"/>
        <w:kinsoku/>
        <w:wordWrap/>
        <w:overflowPunct/>
        <w:topLinePunct w:val="0"/>
        <w:autoSpaceDE/>
        <w:autoSpaceDN/>
        <w:bidi w:val="0"/>
        <w:spacing w:line="560" w:lineRule="exact"/>
        <w:ind w:firstLine="616" w:firstLineChars="200"/>
        <w:textAlignment w:val="auto"/>
        <w:rPr>
          <w:rFonts w:hint="eastAsia" w:ascii="楷体" w:hAnsi="楷体" w:eastAsia="楷体" w:cs="楷体"/>
          <w:b w:val="0"/>
          <w:bCs w:val="0"/>
          <w:highlight w:val="none"/>
        </w:rPr>
      </w:pPr>
      <w:r>
        <w:rPr>
          <w:rFonts w:hint="eastAsia" w:ascii="楷体" w:hAnsi="楷体" w:eastAsia="楷体" w:cs="楷体"/>
          <w:b w:val="0"/>
          <w:bCs w:val="0"/>
          <w:highlight w:val="none"/>
        </w:rPr>
        <w:t>（二）评价指标分析。</w:t>
      </w:r>
    </w:p>
    <w:p>
      <w:pPr>
        <w:pStyle w:val="10"/>
        <w:keepNext w:val="0"/>
        <w:keepLines w:val="0"/>
        <w:pageBreakBefore w:val="0"/>
        <w:widowControl w:val="0"/>
        <w:kinsoku/>
        <w:wordWrap/>
        <w:overflowPunct/>
        <w:topLinePunct w:val="0"/>
        <w:autoSpaceDE/>
        <w:autoSpaceDN/>
        <w:bidi w:val="0"/>
        <w:spacing w:line="560" w:lineRule="exact"/>
        <w:ind w:firstLine="616" w:firstLineChars="200"/>
        <w:jc w:val="both"/>
        <w:textAlignment w:val="auto"/>
        <w:rPr>
          <w:rFonts w:hint="eastAsia" w:cs="Times New Roman"/>
          <w:kern w:val="2"/>
          <w:sz w:val="32"/>
          <w:szCs w:val="24"/>
          <w:lang w:val="en-US" w:eastAsia="zh-CN" w:bidi="ar-SA"/>
        </w:rPr>
      </w:pPr>
      <w:r>
        <w:rPr>
          <w:rFonts w:hint="eastAsia" w:ascii="仿宋_GB2312" w:hAnsi="仿宋_GB2312" w:eastAsia="仿宋_GB2312" w:cs="仿宋_GB2312"/>
          <w:b/>
          <w:bCs/>
          <w:kern w:val="2"/>
          <w:sz w:val="32"/>
          <w:szCs w:val="32"/>
          <w:highlight w:val="none"/>
          <w:lang w:val="en-US" w:eastAsia="zh-CN" w:bidi="zh-CN"/>
        </w:rPr>
        <w:t>指标完成总体情况：</w:t>
      </w:r>
      <w:r>
        <w:rPr>
          <w:rFonts w:hint="eastAsia" w:ascii="Times New Roman" w:hAnsi="Times New Roman" w:eastAsia="仿宋_GB2312" w:cs="Times New Roman"/>
          <w:kern w:val="2"/>
          <w:sz w:val="32"/>
          <w:szCs w:val="24"/>
          <w:lang w:val="en-US" w:eastAsia="zh-CN" w:bidi="ar-SA"/>
        </w:rPr>
        <w:t>项目设定的11项指标中，</w:t>
      </w:r>
      <w:r>
        <w:rPr>
          <w:rFonts w:hint="eastAsia" w:cs="Times New Roman"/>
          <w:kern w:val="2"/>
          <w:sz w:val="32"/>
          <w:szCs w:val="24"/>
          <w:lang w:val="en-US" w:eastAsia="zh-CN" w:bidi="ar-SA"/>
        </w:rPr>
        <w:t>具体实现情况基本达到预期。</w:t>
      </w:r>
    </w:p>
    <w:p>
      <w:pPr>
        <w:pStyle w:val="2"/>
        <w:keepNext w:val="0"/>
        <w:keepLines w:val="0"/>
        <w:pageBreakBefore w:val="0"/>
        <w:widowControl w:val="0"/>
        <w:numPr>
          <w:ilvl w:val="0"/>
          <w:numId w:val="0"/>
        </w:numPr>
        <w:kinsoku/>
        <w:wordWrap/>
        <w:overflowPunct/>
        <w:topLinePunct w:val="0"/>
        <w:autoSpaceDE/>
        <w:autoSpaceDN/>
        <w:bidi w:val="0"/>
        <w:spacing w:line="560" w:lineRule="exact"/>
        <w:ind w:firstLine="616" w:firstLineChars="200"/>
        <w:jc w:val="both"/>
        <w:textAlignment w:val="auto"/>
        <w:rPr>
          <w:rFonts w:hint="eastAsia" w:ascii="Times New Roman" w:hAnsi="Times New Roman" w:eastAsia="仿宋_GB2312" w:cs="Times New Roman"/>
          <w:kern w:val="2"/>
          <w:sz w:val="32"/>
          <w:szCs w:val="24"/>
          <w:lang w:val="en-US" w:eastAsia="zh-CN" w:bidi="ar-SA"/>
        </w:rPr>
      </w:pPr>
      <w:r>
        <w:rPr>
          <w:rFonts w:hint="eastAsia" w:ascii="仿宋_GB2312" w:hAnsi="仿宋_GB2312" w:eastAsia="仿宋_GB2312" w:cs="仿宋_GB2312"/>
          <w:b/>
          <w:bCs/>
          <w:kern w:val="2"/>
          <w:sz w:val="32"/>
          <w:szCs w:val="32"/>
          <w:highlight w:val="none"/>
          <w:lang w:val="en-US" w:eastAsia="zh-CN" w:bidi="zh-CN"/>
        </w:rPr>
        <w:t>关键指标分析：</w:t>
      </w:r>
      <w:r>
        <w:rPr>
          <w:rFonts w:hint="eastAsia" w:ascii="Times New Roman" w:hAnsi="Times New Roman" w:eastAsia="仿宋_GB2312" w:cs="Times New Roman"/>
          <w:kern w:val="2"/>
          <w:sz w:val="32"/>
          <w:szCs w:val="24"/>
          <w:lang w:val="en-US" w:eastAsia="zh-CN" w:bidi="ar-SA"/>
        </w:rPr>
        <w:t>截止目前项目资金拨付已达到90%，因项目正在实施过程中，待项目结束后，预期完成剩余10%资金拨付。</w:t>
      </w:r>
    </w:p>
    <w:p>
      <w:pPr>
        <w:pStyle w:val="2"/>
        <w:keepNext w:val="0"/>
        <w:keepLines w:val="0"/>
        <w:pageBreakBefore w:val="0"/>
        <w:widowControl w:val="0"/>
        <w:numPr>
          <w:ilvl w:val="0"/>
          <w:numId w:val="0"/>
        </w:numPr>
        <w:kinsoku/>
        <w:wordWrap/>
        <w:overflowPunct/>
        <w:topLinePunct w:val="0"/>
        <w:autoSpaceDE/>
        <w:autoSpaceDN/>
        <w:bidi w:val="0"/>
        <w:spacing w:line="560" w:lineRule="exact"/>
        <w:ind w:firstLine="616" w:firstLineChars="200"/>
        <w:jc w:val="both"/>
        <w:textAlignment w:val="auto"/>
        <w:rPr>
          <w:rFonts w:hint="eastAsia" w:ascii="Times New Roman" w:hAnsi="Times New Roman" w:eastAsia="仿宋_GB2312" w:cs="Times New Roman"/>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通过技术人员驻场对林芝市卫片执法图斑县（区、市）级上报成果进行审核，完成</w:t>
      </w:r>
      <w:r>
        <w:rPr>
          <w:rFonts w:hint="eastAsia" w:cs="Times New Roman"/>
          <w:kern w:val="2"/>
          <w:sz w:val="32"/>
          <w:szCs w:val="24"/>
          <w:lang w:val="en-US" w:eastAsia="zh-CN" w:bidi="ar-SA"/>
        </w:rPr>
        <w:t>8188</w:t>
      </w:r>
      <w:r>
        <w:rPr>
          <w:rFonts w:hint="eastAsia" w:ascii="Times New Roman" w:hAnsi="Times New Roman" w:eastAsia="仿宋_GB2312" w:cs="Times New Roman"/>
          <w:kern w:val="2"/>
          <w:sz w:val="32"/>
          <w:szCs w:val="24"/>
          <w:lang w:val="en-US" w:eastAsia="zh-CN" w:bidi="ar-SA"/>
        </w:rPr>
        <w:t>个图斑的审核上报工作，做到项目全覆盖，覆盖率达到100%。</w:t>
      </w:r>
    </w:p>
    <w:p>
      <w:pPr>
        <w:pStyle w:val="10"/>
        <w:keepNext w:val="0"/>
        <w:keepLines w:val="0"/>
        <w:pageBreakBefore w:val="0"/>
        <w:widowControl w:val="0"/>
        <w:kinsoku/>
        <w:wordWrap/>
        <w:overflowPunct/>
        <w:topLinePunct w:val="0"/>
        <w:autoSpaceDE/>
        <w:autoSpaceDN/>
        <w:bidi w:val="0"/>
        <w:spacing w:line="560" w:lineRule="exact"/>
        <w:ind w:firstLine="616" w:firstLineChars="200"/>
        <w:jc w:val="both"/>
        <w:textAlignment w:val="auto"/>
        <w:rPr>
          <w:rFonts w:hint="eastAsia" w:ascii="Times New Roman" w:hAnsi="Times New Roman" w:eastAsia="仿宋_GB2312" w:cs="Times New Roman"/>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规范了县（区、市）级卫片执法工作合规性、准确性，解决各县（区、市）卫片执法中存在的问题，有效提升基层工作人员业务能力，确保卫片执法工作高效开展。</w:t>
      </w:r>
    </w:p>
    <w:p>
      <w:pPr>
        <w:pStyle w:val="10"/>
        <w:keepNext w:val="0"/>
        <w:keepLines w:val="0"/>
        <w:pageBreakBefore w:val="0"/>
        <w:widowControl w:val="0"/>
        <w:kinsoku/>
        <w:wordWrap/>
        <w:overflowPunct/>
        <w:topLinePunct w:val="0"/>
        <w:autoSpaceDE/>
        <w:autoSpaceDN/>
        <w:bidi w:val="0"/>
        <w:spacing w:line="560" w:lineRule="exact"/>
        <w:ind w:firstLine="616" w:firstLineChars="200"/>
        <w:jc w:val="both"/>
        <w:textAlignment w:val="auto"/>
        <w:rPr>
          <w:rFonts w:hint="default" w:ascii="Times New Roman" w:hAnsi="Times New Roman" w:eastAsia="仿宋_GB2312" w:cs="Times New Roman"/>
          <w:kern w:val="2"/>
          <w:sz w:val="32"/>
          <w:szCs w:val="24"/>
          <w:lang w:val="en-US" w:eastAsia="zh-CN" w:bidi="ar-SA"/>
        </w:rPr>
      </w:pPr>
      <w:r>
        <w:rPr>
          <w:rFonts w:hint="eastAsia" w:ascii="Times New Roman" w:hAnsi="Times New Roman" w:eastAsia="仿宋_GB2312" w:cs="Times New Roman"/>
          <w:kern w:val="2"/>
          <w:sz w:val="32"/>
          <w:szCs w:val="24"/>
          <w:lang w:val="en-US" w:eastAsia="zh-CN" w:bidi="ar-SA"/>
        </w:rPr>
        <w:t>服务满意度达到90%以上，基本达到预期。</w:t>
      </w:r>
    </w:p>
    <w:p>
      <w:pPr>
        <w:keepNext w:val="0"/>
        <w:keepLines w:val="0"/>
        <w:pageBreakBefore w:val="0"/>
        <w:widowControl w:val="0"/>
        <w:kinsoku/>
        <w:wordWrap/>
        <w:overflowPunct/>
        <w:topLinePunct w:val="0"/>
        <w:autoSpaceDE/>
        <w:autoSpaceDN/>
        <w:bidi w:val="0"/>
        <w:spacing w:line="560" w:lineRule="exact"/>
        <w:ind w:firstLine="616" w:firstLineChars="200"/>
        <w:textAlignment w:val="auto"/>
        <w:rPr>
          <w:rFonts w:ascii="方正小标宋简体" w:eastAsia="方正小标宋简体"/>
        </w:rPr>
      </w:pPr>
      <w:r>
        <w:rPr>
          <w:rFonts w:hint="eastAsia" w:ascii="方正小标宋简体" w:eastAsia="方正小标宋简体"/>
        </w:rPr>
        <w:t>四、改进意见</w:t>
      </w:r>
    </w:p>
    <w:p>
      <w:pPr>
        <w:pStyle w:val="10"/>
        <w:keepNext w:val="0"/>
        <w:keepLines w:val="0"/>
        <w:pageBreakBefore w:val="0"/>
        <w:widowControl w:val="0"/>
        <w:numPr>
          <w:ilvl w:val="0"/>
          <w:numId w:val="0"/>
        </w:numPr>
        <w:kinsoku/>
        <w:wordWrap/>
        <w:overflowPunct/>
        <w:topLinePunct w:val="0"/>
        <w:autoSpaceDE/>
        <w:autoSpaceDN/>
        <w:bidi w:val="0"/>
        <w:spacing w:line="560" w:lineRule="exact"/>
        <w:ind w:firstLine="616" w:firstLineChars="200"/>
        <w:jc w:val="both"/>
        <w:textAlignment w:val="auto"/>
        <w:rPr>
          <w:rFonts w:hint="eastAsia" w:ascii="Times New Roman" w:hAnsi="Times New Roman" w:eastAsia="仿宋_GB2312" w:cs="Times New Roman"/>
          <w:kern w:val="2"/>
          <w:sz w:val="32"/>
          <w:szCs w:val="24"/>
          <w:lang w:val="en-US" w:eastAsia="zh-CN" w:bidi="ar-SA"/>
        </w:rPr>
      </w:pPr>
      <w:r>
        <w:rPr>
          <w:rFonts w:hint="eastAsia" w:ascii="楷体" w:hAnsi="楷体" w:eastAsia="楷体" w:cs="楷体"/>
          <w:b w:val="0"/>
          <w:bCs w:val="0"/>
          <w:kern w:val="2"/>
          <w:sz w:val="32"/>
          <w:szCs w:val="24"/>
          <w:lang w:val="en-US" w:eastAsia="zh-CN" w:bidi="ar-SA"/>
        </w:rPr>
        <w:t>（一）加强制度建设，强化绩效目标管理责任意识。</w:t>
      </w:r>
      <w:r>
        <w:rPr>
          <w:rFonts w:hint="eastAsia" w:ascii="Times New Roman" w:hAnsi="Times New Roman" w:eastAsia="仿宋_GB2312" w:cs="Times New Roman"/>
          <w:kern w:val="2"/>
          <w:sz w:val="32"/>
          <w:szCs w:val="24"/>
          <w:lang w:val="en-US" w:eastAsia="zh-CN" w:bidi="ar-SA"/>
        </w:rPr>
        <w:t>要深入研究制定绩效目标管理制度，加强对预算绩效目标编制质量的刚性约束，不断规范编制行为，强化预算绩效管理的能力，增强自我约束意识和责任意识。</w:t>
      </w:r>
    </w:p>
    <w:p>
      <w:pPr>
        <w:pStyle w:val="10"/>
        <w:keepNext w:val="0"/>
        <w:keepLines w:val="0"/>
        <w:pageBreakBefore w:val="0"/>
        <w:widowControl w:val="0"/>
        <w:numPr>
          <w:ilvl w:val="0"/>
          <w:numId w:val="0"/>
        </w:numPr>
        <w:kinsoku/>
        <w:wordWrap/>
        <w:overflowPunct/>
        <w:topLinePunct w:val="0"/>
        <w:autoSpaceDE/>
        <w:autoSpaceDN/>
        <w:bidi w:val="0"/>
        <w:spacing w:line="560" w:lineRule="exact"/>
        <w:ind w:firstLine="616" w:firstLineChars="200"/>
        <w:jc w:val="both"/>
        <w:textAlignment w:val="auto"/>
        <w:rPr>
          <w:rFonts w:hint="default" w:cs="Times New Roman"/>
          <w:kern w:val="2"/>
          <w:sz w:val="32"/>
          <w:szCs w:val="24"/>
          <w:lang w:val="en-US" w:eastAsia="zh-CN" w:bidi="ar-SA"/>
        </w:rPr>
      </w:pPr>
      <w:r>
        <w:rPr>
          <w:rFonts w:hint="eastAsia" w:ascii="楷体" w:hAnsi="楷体" w:eastAsia="楷体" w:cs="楷体"/>
          <w:b w:val="0"/>
          <w:bCs w:val="0"/>
          <w:kern w:val="2"/>
          <w:sz w:val="32"/>
          <w:szCs w:val="24"/>
          <w:lang w:val="en-US" w:eastAsia="zh-CN" w:bidi="ar-SA"/>
        </w:rPr>
        <w:t>（二）加强业务培训与指导，提升业务素质。</w:t>
      </w:r>
      <w:r>
        <w:rPr>
          <w:rFonts w:hint="eastAsia" w:cs="Times New Roman"/>
          <w:kern w:val="2"/>
          <w:sz w:val="32"/>
          <w:szCs w:val="24"/>
          <w:lang w:val="en-US" w:eastAsia="zh-CN" w:bidi="ar-SA"/>
        </w:rPr>
        <w:t>要进一步提高绩效目标编制质量，提升预算单位项目负责人员工作能力和业务水平，建议组织专家通过多种形式开展不同层次的业务培训，围绕绩效目标管理、实务、及申报过程中存在的问题等方面进行专题培训，确保填报工作的准确性、规范性。</w:t>
      </w:r>
    </w:p>
    <w:sectPr>
      <w:headerReference r:id="rId5" w:type="first"/>
      <w:footerReference r:id="rId8" w:type="first"/>
      <w:headerReference r:id="rId3" w:type="default"/>
      <w:footerReference r:id="rId6" w:type="default"/>
      <w:headerReference r:id="rId4" w:type="even"/>
      <w:footerReference r:id="rId7" w:type="even"/>
      <w:pgSz w:w="11906" w:h="16838"/>
      <w:pgMar w:top="1701" w:right="1588" w:bottom="1644" w:left="1701" w:header="851" w:footer="992" w:gutter="0"/>
      <w:cols w:space="425" w:num="1"/>
      <w:docGrid w:type="linesAndChars" w:linePitch="610" w:charSpace="-25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C6472B"/>
    <w:multiLevelType w:val="singleLevel"/>
    <w:tmpl w:val="A9C6472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54"/>
  <w:drawingGridVerticalSpacing w:val="3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GIzMjhmZTBiMmIwYzg4ZGFhZDk1YmNmODllMWU4ZGEifQ=="/>
  </w:docVars>
  <w:rsids>
    <w:rsidRoot w:val="00DA04CD"/>
    <w:rsid w:val="00007A67"/>
    <w:rsid w:val="00022542"/>
    <w:rsid w:val="000240EE"/>
    <w:rsid w:val="000258AA"/>
    <w:rsid w:val="000C0184"/>
    <w:rsid w:val="000D1E99"/>
    <w:rsid w:val="00145B76"/>
    <w:rsid w:val="001A455A"/>
    <w:rsid w:val="001C65A3"/>
    <w:rsid w:val="00235EDE"/>
    <w:rsid w:val="00283EB6"/>
    <w:rsid w:val="002D40EC"/>
    <w:rsid w:val="002D7EDF"/>
    <w:rsid w:val="002E516E"/>
    <w:rsid w:val="002E5CB6"/>
    <w:rsid w:val="002F0587"/>
    <w:rsid w:val="00322A7D"/>
    <w:rsid w:val="00325DE1"/>
    <w:rsid w:val="00331AA1"/>
    <w:rsid w:val="00347820"/>
    <w:rsid w:val="00347914"/>
    <w:rsid w:val="00395359"/>
    <w:rsid w:val="004078CE"/>
    <w:rsid w:val="00410146"/>
    <w:rsid w:val="00413B2F"/>
    <w:rsid w:val="00432296"/>
    <w:rsid w:val="004531CF"/>
    <w:rsid w:val="004749F5"/>
    <w:rsid w:val="00486009"/>
    <w:rsid w:val="004B2E77"/>
    <w:rsid w:val="004B3572"/>
    <w:rsid w:val="0053790D"/>
    <w:rsid w:val="00537F7E"/>
    <w:rsid w:val="00566EB1"/>
    <w:rsid w:val="0059798E"/>
    <w:rsid w:val="005B06B5"/>
    <w:rsid w:val="005C28C3"/>
    <w:rsid w:val="005D4C3F"/>
    <w:rsid w:val="005E6FE2"/>
    <w:rsid w:val="00606F30"/>
    <w:rsid w:val="00620700"/>
    <w:rsid w:val="0062264E"/>
    <w:rsid w:val="006265B7"/>
    <w:rsid w:val="006317C3"/>
    <w:rsid w:val="00675A9A"/>
    <w:rsid w:val="00683EA8"/>
    <w:rsid w:val="006D4795"/>
    <w:rsid w:val="00754811"/>
    <w:rsid w:val="00756360"/>
    <w:rsid w:val="00781B6C"/>
    <w:rsid w:val="0078264B"/>
    <w:rsid w:val="007A7399"/>
    <w:rsid w:val="007B2E55"/>
    <w:rsid w:val="007D2DD9"/>
    <w:rsid w:val="008428B2"/>
    <w:rsid w:val="0084340E"/>
    <w:rsid w:val="00880F2C"/>
    <w:rsid w:val="008B525A"/>
    <w:rsid w:val="008C30AE"/>
    <w:rsid w:val="008D3371"/>
    <w:rsid w:val="008E75C3"/>
    <w:rsid w:val="0090022C"/>
    <w:rsid w:val="00A1401A"/>
    <w:rsid w:val="00A3720F"/>
    <w:rsid w:val="00A70279"/>
    <w:rsid w:val="00A8644D"/>
    <w:rsid w:val="00A91495"/>
    <w:rsid w:val="00AC53BB"/>
    <w:rsid w:val="00AF5FB9"/>
    <w:rsid w:val="00B05F42"/>
    <w:rsid w:val="00B12D08"/>
    <w:rsid w:val="00B55F8F"/>
    <w:rsid w:val="00BA5204"/>
    <w:rsid w:val="00C005AF"/>
    <w:rsid w:val="00C10A76"/>
    <w:rsid w:val="00CB17DD"/>
    <w:rsid w:val="00CD313A"/>
    <w:rsid w:val="00CD5F4B"/>
    <w:rsid w:val="00D45282"/>
    <w:rsid w:val="00D73EB4"/>
    <w:rsid w:val="00D74AD4"/>
    <w:rsid w:val="00D82FAA"/>
    <w:rsid w:val="00DA04CD"/>
    <w:rsid w:val="00DA43A7"/>
    <w:rsid w:val="00DA5CEB"/>
    <w:rsid w:val="00DC37C4"/>
    <w:rsid w:val="00DC4199"/>
    <w:rsid w:val="00DF7A41"/>
    <w:rsid w:val="00E03302"/>
    <w:rsid w:val="00E23CAC"/>
    <w:rsid w:val="00E71A39"/>
    <w:rsid w:val="00E75090"/>
    <w:rsid w:val="00E82D5B"/>
    <w:rsid w:val="00EA3F40"/>
    <w:rsid w:val="00EA4E69"/>
    <w:rsid w:val="00EC4520"/>
    <w:rsid w:val="00ED3E32"/>
    <w:rsid w:val="00EF18C9"/>
    <w:rsid w:val="00F04107"/>
    <w:rsid w:val="00F43167"/>
    <w:rsid w:val="00F43EA4"/>
    <w:rsid w:val="00F60DBF"/>
    <w:rsid w:val="00F726D7"/>
    <w:rsid w:val="00FF548F"/>
    <w:rsid w:val="0F8F5C77"/>
    <w:rsid w:val="1B7E66C0"/>
    <w:rsid w:val="25B103DE"/>
    <w:rsid w:val="320812F2"/>
    <w:rsid w:val="380B68BB"/>
    <w:rsid w:val="4D261D06"/>
    <w:rsid w:val="50C0428C"/>
    <w:rsid w:val="536E726B"/>
    <w:rsid w:val="5A5B0CC9"/>
    <w:rsid w:val="61FE20E3"/>
    <w:rsid w:val="69C61F8C"/>
    <w:rsid w:val="6E123544"/>
    <w:rsid w:val="73396EFC"/>
    <w:rsid w:val="7CBD1F8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line="360" w:lineRule="auto"/>
    </w:pPr>
    <w:rPr>
      <w:sz w:val="24"/>
      <w:szCs w:val="20"/>
    </w:r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EAF4B0-D9C5-4AD8-A521-C8067EA0DDEE}">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291</Words>
  <Characters>297</Characters>
  <Lines>3</Lines>
  <Paragraphs>1</Paragraphs>
  <TotalTime>14</TotalTime>
  <ScaleCrop>false</ScaleCrop>
  <LinksUpToDate>false</LinksUpToDate>
  <CharactersWithSpaces>367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2023-03-22T08:31:00Z</dcterms:created>
  <dc:creator>梁莉瑶</dc:creator>
  <cp:lastModifiedBy>Administrator</cp:lastModifiedBy>
  <cp:lastPrinted>2025-05-14T04:15:00Z</cp:lastPrinted>
  <dcterms:modified xsi:type="dcterms:W3CDTF">2025-07-14T03:50:18Z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KSOTemplateDocerSaveRecord">
    <vt:lpwstr>eyJoZGlkIjoiMzEwNTM5NzYwMDRjMzkwZTVkZjY2ODkwMGIxNGU0OTUiLCJ1c2VySWQiOiI0NDAyMDAyMjYifQ==</vt:lpwstr>
  </property>
  <property fmtid="{D5CDD505-2E9C-101B-9397-08002B2CF9AE}" pid="4" name="ICV">
    <vt:lpwstr>11D9B3357CCD419D9C773F7D1B373FDA_12</vt:lpwstr>
  </property>
</Properties>
</file>